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FA2" w:rsidRPr="000E2238" w:rsidRDefault="00D76FA2" w:rsidP="00D76FA2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0E2238">
        <w:rPr>
          <w:sz w:val="26"/>
          <w:szCs w:val="26"/>
        </w:rPr>
        <w:t>Экспертное заключение № 41/Д</w:t>
      </w:r>
    </w:p>
    <w:p w:rsidR="00D76FA2" w:rsidRPr="000E2238" w:rsidRDefault="00D76FA2" w:rsidP="00D76FA2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0E2238">
        <w:rPr>
          <w:sz w:val="26"/>
          <w:szCs w:val="26"/>
        </w:rPr>
        <w:t>на проект решения Думы города Пыть-Яха</w:t>
      </w:r>
    </w:p>
    <w:p w:rsidR="00D76FA2" w:rsidRPr="000E2238" w:rsidRDefault="00D76FA2" w:rsidP="003D42AB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0E2238">
        <w:rPr>
          <w:sz w:val="26"/>
          <w:szCs w:val="26"/>
        </w:rPr>
        <w:t xml:space="preserve">«О внесении изменений в решение Думы </w:t>
      </w:r>
      <w:r w:rsidRPr="003D42AB">
        <w:rPr>
          <w:sz w:val="26"/>
          <w:szCs w:val="26"/>
        </w:rPr>
        <w:t xml:space="preserve">города </w:t>
      </w:r>
      <w:r w:rsidR="003D42AB" w:rsidRPr="003D42AB">
        <w:rPr>
          <w:sz w:val="26"/>
          <w:szCs w:val="26"/>
        </w:rPr>
        <w:t>от 22.09.2008 № 330</w:t>
      </w:r>
      <w:r w:rsidR="003D42AB" w:rsidRPr="003D42AB">
        <w:rPr>
          <w:b/>
          <w:sz w:val="26"/>
          <w:szCs w:val="26"/>
        </w:rPr>
        <w:t xml:space="preserve"> </w:t>
      </w:r>
      <w:r w:rsidRPr="000E2238">
        <w:rPr>
          <w:sz w:val="26"/>
          <w:szCs w:val="26"/>
        </w:rPr>
        <w:t>«Об установлении земельного налога на территории муниципального образования городской округ город Пыть-</w:t>
      </w:r>
      <w:r w:rsidR="003D42AB" w:rsidRPr="000E2238">
        <w:rPr>
          <w:sz w:val="26"/>
          <w:szCs w:val="26"/>
        </w:rPr>
        <w:t>Ях</w:t>
      </w:r>
      <w:r w:rsidR="003D42AB">
        <w:rPr>
          <w:sz w:val="26"/>
          <w:szCs w:val="26"/>
        </w:rPr>
        <w:t xml:space="preserve">» </w:t>
      </w:r>
      <w:r w:rsidR="003D42AB" w:rsidRPr="000E2238">
        <w:rPr>
          <w:sz w:val="26"/>
          <w:szCs w:val="26"/>
        </w:rPr>
        <w:t>(</w:t>
      </w:r>
      <w:r w:rsidRPr="000E2238">
        <w:rPr>
          <w:sz w:val="26"/>
          <w:szCs w:val="26"/>
        </w:rPr>
        <w:t>в ред. от 27.11.2008 № 356, от 20.10.2009 № 446, от 21.10.2010 № 577,</w:t>
      </w:r>
      <w:r w:rsidR="003D42AB">
        <w:rPr>
          <w:sz w:val="26"/>
          <w:szCs w:val="26"/>
        </w:rPr>
        <w:t xml:space="preserve"> </w:t>
      </w:r>
      <w:r w:rsidRPr="000E2238">
        <w:rPr>
          <w:sz w:val="26"/>
          <w:szCs w:val="26"/>
        </w:rPr>
        <w:t xml:space="preserve">от 30.03.2011 № 8, от 26.09.2012 № 167, от 24.12.2013 № 248, </w:t>
      </w:r>
    </w:p>
    <w:p w:rsidR="00D76FA2" w:rsidRPr="000E2238" w:rsidRDefault="00D76FA2" w:rsidP="00D76FA2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0E2238">
        <w:rPr>
          <w:sz w:val="26"/>
          <w:szCs w:val="26"/>
        </w:rPr>
        <w:t xml:space="preserve">от 30.09.2014 № 277, от 25.11.2014 № 300, от 18.02.2015 № 310, </w:t>
      </w:r>
    </w:p>
    <w:p w:rsidR="00D76FA2" w:rsidRPr="000E2238" w:rsidRDefault="00D76FA2" w:rsidP="00D76FA2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0E2238">
        <w:rPr>
          <w:sz w:val="26"/>
          <w:szCs w:val="26"/>
        </w:rPr>
        <w:t>от 15.12.2015 № 368, от 25</w:t>
      </w:r>
      <w:r w:rsidR="003D42AB">
        <w:rPr>
          <w:sz w:val="26"/>
          <w:szCs w:val="26"/>
        </w:rPr>
        <w:t>.05.2016 № 425)</w:t>
      </w:r>
    </w:p>
    <w:p w:rsidR="00D76FA2" w:rsidRPr="000E2238" w:rsidRDefault="00D76FA2" w:rsidP="00D76FA2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D76FA2" w:rsidRPr="000E2238" w:rsidRDefault="00D76FA2" w:rsidP="00D76FA2">
      <w:pPr>
        <w:tabs>
          <w:tab w:val="left" w:pos="567"/>
        </w:tabs>
        <w:jc w:val="both"/>
        <w:rPr>
          <w:sz w:val="26"/>
          <w:szCs w:val="26"/>
        </w:rPr>
      </w:pPr>
      <w:r w:rsidRPr="000E2238">
        <w:rPr>
          <w:sz w:val="26"/>
          <w:szCs w:val="26"/>
        </w:rPr>
        <w:t xml:space="preserve">г. Пыть-Ях                                                                                                   </w:t>
      </w:r>
      <w:r w:rsidR="000E2238">
        <w:rPr>
          <w:sz w:val="26"/>
          <w:szCs w:val="26"/>
        </w:rPr>
        <w:t>2</w:t>
      </w:r>
      <w:r w:rsidR="00263BA9">
        <w:rPr>
          <w:sz w:val="26"/>
          <w:szCs w:val="26"/>
        </w:rPr>
        <w:t>4</w:t>
      </w:r>
      <w:r w:rsidRPr="000E2238">
        <w:rPr>
          <w:sz w:val="26"/>
          <w:szCs w:val="26"/>
        </w:rPr>
        <w:t xml:space="preserve"> октября 2017 г.</w:t>
      </w:r>
    </w:p>
    <w:p w:rsidR="00D76FA2" w:rsidRPr="000E2238" w:rsidRDefault="00D76FA2" w:rsidP="00D76FA2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D76FA2" w:rsidRPr="000E2238" w:rsidRDefault="00D76FA2" w:rsidP="003D42AB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0E2238">
        <w:rPr>
          <w:sz w:val="26"/>
          <w:szCs w:val="26"/>
        </w:rPr>
        <w:t xml:space="preserve">Счетно-контрольной палатой г.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 </w:t>
      </w:r>
      <w:r w:rsidR="003D42AB" w:rsidRPr="003D42AB">
        <w:rPr>
          <w:sz w:val="26"/>
          <w:szCs w:val="26"/>
        </w:rPr>
        <w:t>«О внесении изменений в решение Думы города от 22.09.2008 № 330</w:t>
      </w:r>
      <w:r w:rsidR="003D42AB" w:rsidRPr="003D42AB">
        <w:rPr>
          <w:b/>
          <w:sz w:val="26"/>
          <w:szCs w:val="26"/>
        </w:rPr>
        <w:t xml:space="preserve"> </w:t>
      </w:r>
      <w:r w:rsidR="003D42AB" w:rsidRPr="003D42AB">
        <w:rPr>
          <w:sz w:val="26"/>
          <w:szCs w:val="26"/>
        </w:rPr>
        <w:t>«Об установлении земельного налога на территории муниципального образования городской округ город Пыть-Ях» (в ред. от 27.11.2008 № 356, от 20.10.2009 № 446, от 21.10.2010 № 577, от 30.03.2011 № 8, от 26.09.2012 № 167, от 24.12.2013 № 248, от 30.09.2014 № 277, от 25.11.2014 № 300, от 18.02.2015 № 310, от 15.12.2015 № 368, от 25.05.2016 № 425)</w:t>
      </w:r>
      <w:r w:rsidR="003D42AB">
        <w:rPr>
          <w:sz w:val="26"/>
          <w:szCs w:val="26"/>
        </w:rPr>
        <w:t xml:space="preserve"> </w:t>
      </w:r>
      <w:r w:rsidRPr="000E2238">
        <w:rPr>
          <w:sz w:val="26"/>
          <w:szCs w:val="26"/>
        </w:rPr>
        <w:t>(далее – проект решения) на соответствие  действующему законодательству.</w:t>
      </w:r>
    </w:p>
    <w:p w:rsidR="00D76FA2" w:rsidRPr="000E2238" w:rsidRDefault="00D76FA2" w:rsidP="00D76FA2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0E2238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D76FA2" w:rsidRPr="000E2238" w:rsidRDefault="00D76FA2" w:rsidP="00D76FA2">
      <w:pPr>
        <w:pStyle w:val="ConsPlusTitle"/>
        <w:widowControl/>
        <w:numPr>
          <w:ilvl w:val="0"/>
          <w:numId w:val="1"/>
        </w:numPr>
        <w:jc w:val="both"/>
        <w:rPr>
          <w:b w:val="0"/>
          <w:sz w:val="26"/>
          <w:szCs w:val="26"/>
        </w:rPr>
      </w:pPr>
      <w:r w:rsidRPr="000E2238">
        <w:rPr>
          <w:b w:val="0"/>
          <w:sz w:val="26"/>
          <w:szCs w:val="26"/>
        </w:rPr>
        <w:t>Налоговый кодекс Российской Федерации (далее - НК РФ);</w:t>
      </w:r>
    </w:p>
    <w:p w:rsidR="00D76FA2" w:rsidRPr="000E2238" w:rsidRDefault="00D76FA2" w:rsidP="00D76FA2">
      <w:pPr>
        <w:pStyle w:val="ConsPlusTitle"/>
        <w:widowControl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 w:val="0"/>
          <w:sz w:val="26"/>
          <w:szCs w:val="26"/>
        </w:rPr>
      </w:pPr>
      <w:r w:rsidRPr="000E2238">
        <w:rPr>
          <w:b w:val="0"/>
          <w:sz w:val="26"/>
          <w:szCs w:val="26"/>
        </w:rPr>
        <w:t>Федеральный закон от 06.10.2006 № 131-ФЗ «Об общих принципах организации местного самоуправления в РФ» (далее - Федеральный закон от 06.10.2006 № 131-ФЗ)</w:t>
      </w:r>
    </w:p>
    <w:p w:rsidR="00D76FA2" w:rsidRPr="000E2238" w:rsidRDefault="00D76FA2" w:rsidP="00D76FA2">
      <w:pPr>
        <w:pStyle w:val="ConsPlusTitle"/>
        <w:widowControl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 w:val="0"/>
          <w:sz w:val="26"/>
          <w:szCs w:val="26"/>
        </w:rPr>
      </w:pPr>
      <w:r w:rsidRPr="000E2238">
        <w:rPr>
          <w:b w:val="0"/>
          <w:sz w:val="26"/>
          <w:szCs w:val="26"/>
        </w:rPr>
        <w:t>Земельный кодекс РФ (далее – ЗК РФ);</w:t>
      </w:r>
    </w:p>
    <w:p w:rsidR="00D76FA2" w:rsidRPr="000E2238" w:rsidRDefault="00D76FA2" w:rsidP="00D76FA2">
      <w:pPr>
        <w:pStyle w:val="ConsPlusTitle"/>
        <w:widowControl/>
        <w:ind w:firstLine="567"/>
        <w:jc w:val="both"/>
        <w:rPr>
          <w:b w:val="0"/>
          <w:sz w:val="26"/>
          <w:szCs w:val="26"/>
        </w:rPr>
      </w:pPr>
      <w:r w:rsidRPr="000E2238">
        <w:rPr>
          <w:b w:val="0"/>
          <w:sz w:val="26"/>
          <w:szCs w:val="26"/>
        </w:rPr>
        <w:t>4.</w:t>
      </w:r>
      <w:r w:rsidRPr="000E2238">
        <w:rPr>
          <w:sz w:val="26"/>
          <w:szCs w:val="26"/>
        </w:rPr>
        <w:t xml:space="preserve"> </w:t>
      </w:r>
      <w:r w:rsidRPr="000E2238">
        <w:rPr>
          <w:b w:val="0"/>
          <w:sz w:val="26"/>
          <w:szCs w:val="26"/>
        </w:rPr>
        <w:t>Приказ Минэкономразвития РФ от 15.02.2007 № 39 «Об утверждении Методических указаний по государственной кадастровой оценке земель населенных пунктов» (далее - приказ Минэкономразвития РФ от 15.02.2007 № 39);</w:t>
      </w:r>
    </w:p>
    <w:p w:rsidR="00D76FA2" w:rsidRPr="000E2238" w:rsidRDefault="00D76FA2" w:rsidP="00D76FA2">
      <w:pPr>
        <w:pStyle w:val="ConsPlusTitle"/>
        <w:widowControl/>
        <w:ind w:firstLine="567"/>
        <w:jc w:val="both"/>
        <w:rPr>
          <w:b w:val="0"/>
          <w:sz w:val="26"/>
          <w:szCs w:val="26"/>
        </w:rPr>
      </w:pPr>
      <w:r w:rsidRPr="000E2238">
        <w:rPr>
          <w:b w:val="0"/>
          <w:sz w:val="26"/>
          <w:szCs w:val="26"/>
        </w:rPr>
        <w:t>5. Постановление Правительства Ханты-Мансийского автономного округа - Югры от 07.08.2015 № 249-п «Об утверждении результатов определения кадастровой стоимости земельных участков в составе земель населенных пунктов на территории ХМАО-Югры и признании утратившими силу некоторых постановления Правительства ХМАО-Югры» (далее - постановление Правительства Ханты-Мансийского автономного округа - Югры от 07.08.2015 № 249-п);</w:t>
      </w:r>
    </w:p>
    <w:p w:rsidR="00D76FA2" w:rsidRPr="000E2238" w:rsidRDefault="00D76FA2" w:rsidP="00D76FA2">
      <w:pPr>
        <w:pStyle w:val="ConsPlusTitle"/>
        <w:widowControl/>
        <w:ind w:firstLine="567"/>
        <w:jc w:val="both"/>
        <w:rPr>
          <w:b w:val="0"/>
          <w:sz w:val="26"/>
          <w:szCs w:val="26"/>
        </w:rPr>
      </w:pPr>
      <w:r w:rsidRPr="000E2238">
        <w:rPr>
          <w:b w:val="0"/>
          <w:sz w:val="26"/>
          <w:szCs w:val="26"/>
        </w:rPr>
        <w:t>6. Распоряжение Правительства ХМАО-Югры от 10.10.2014 № 562-рп «О проведении кадастровой оценки объектов недвижимости» (далее - распоряжение Правительства ХМАО-Югры от 10.10.2014 № 562-рп).</w:t>
      </w:r>
    </w:p>
    <w:p w:rsidR="00D76FA2" w:rsidRPr="000E2238" w:rsidRDefault="00D76FA2" w:rsidP="00D76FA2">
      <w:pPr>
        <w:tabs>
          <w:tab w:val="left" w:pos="567"/>
        </w:tabs>
        <w:ind w:firstLine="567"/>
        <w:jc w:val="both"/>
        <w:rPr>
          <w:bCs/>
          <w:sz w:val="26"/>
          <w:szCs w:val="26"/>
        </w:rPr>
      </w:pPr>
      <w:r w:rsidRPr="000E2238">
        <w:rPr>
          <w:sz w:val="26"/>
          <w:szCs w:val="26"/>
        </w:rPr>
        <w:t xml:space="preserve">В соответствии с п. 2.2. Положения </w:t>
      </w:r>
      <w:r w:rsidRPr="000E2238">
        <w:rPr>
          <w:bCs/>
          <w:sz w:val="26"/>
          <w:szCs w:val="26"/>
        </w:rPr>
        <w:t>о порядке внесения проектов муниципальных</w:t>
      </w:r>
    </w:p>
    <w:p w:rsidR="00D76FA2" w:rsidRPr="000E2238" w:rsidRDefault="00D76FA2" w:rsidP="00D76FA2">
      <w:pPr>
        <w:tabs>
          <w:tab w:val="left" w:pos="567"/>
        </w:tabs>
        <w:jc w:val="both"/>
        <w:rPr>
          <w:bCs/>
          <w:sz w:val="26"/>
          <w:szCs w:val="26"/>
        </w:rPr>
      </w:pPr>
      <w:r w:rsidRPr="000E2238">
        <w:rPr>
          <w:bCs/>
          <w:sz w:val="26"/>
          <w:szCs w:val="26"/>
        </w:rPr>
        <w:t xml:space="preserve">правовых актов в Думу города Пыть-Яха, утвержденного </w:t>
      </w:r>
      <w:r w:rsidRPr="000E2238">
        <w:rPr>
          <w:sz w:val="26"/>
          <w:szCs w:val="26"/>
        </w:rPr>
        <w:t xml:space="preserve">решением Думы города Пыть-Яха от 26.04.2012 № 139, данный проект направлен в Думу города Пыть-Яха Главой города. В Счетно-контрольную палату проект решения поступил 13.10.2017 г. </w:t>
      </w:r>
    </w:p>
    <w:p w:rsidR="00D76FA2" w:rsidRPr="000E2238" w:rsidRDefault="00D76FA2" w:rsidP="00D76FA2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0E2238">
        <w:rPr>
          <w:sz w:val="26"/>
          <w:szCs w:val="26"/>
        </w:rPr>
        <w:t>С проектом решения представлены пояснительная записка заместителя главы города – председателя комитета по финансам</w:t>
      </w:r>
      <w:r w:rsidRPr="000E2238">
        <w:rPr>
          <w:bCs/>
          <w:sz w:val="26"/>
          <w:szCs w:val="26"/>
        </w:rPr>
        <w:t xml:space="preserve">, финансово-экономическое обоснование проекта решения Думы, письмо Межрайонной ИФНС России № 7 по Ханты-Мансийскому автономному округу – Югра от 06.10.2017 № 04-36/11645 «О </w:t>
      </w:r>
      <w:r w:rsidRPr="000E2238">
        <w:rPr>
          <w:bCs/>
          <w:sz w:val="26"/>
          <w:szCs w:val="26"/>
        </w:rPr>
        <w:lastRenderedPageBreak/>
        <w:t xml:space="preserve">согласовании проекта решения». </w:t>
      </w:r>
      <w:r w:rsidRPr="000E2238">
        <w:rPr>
          <w:sz w:val="26"/>
          <w:szCs w:val="26"/>
        </w:rPr>
        <w:t xml:space="preserve">Разработчиком дополнительно были предоставлены следующие документы: протокол заседания Совета при Правительстве Ханты-Мансийского автономного округа – Югры по вопросам развития инвестиционной деятельности в Ханты-Мансийском автономном округе – Югре от 16.12.2016 № 28, соглашение о сотрудничестве по вопросам внедрения успешных практик от 13.02.2017 № б/н. </w:t>
      </w:r>
    </w:p>
    <w:p w:rsidR="00D76FA2" w:rsidRPr="000E2238" w:rsidRDefault="00D76FA2" w:rsidP="00D76FA2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0E2238">
        <w:rPr>
          <w:sz w:val="26"/>
          <w:szCs w:val="26"/>
        </w:rPr>
        <w:t xml:space="preserve">В ходе подготовки заключения эксперты к проведению экспертизы не привлекались, документы не запрашивались. </w:t>
      </w:r>
    </w:p>
    <w:p w:rsidR="00D76FA2" w:rsidRPr="000E2238" w:rsidRDefault="00D76FA2" w:rsidP="00D76FA2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0E2238">
        <w:rPr>
          <w:sz w:val="26"/>
          <w:szCs w:val="26"/>
        </w:rPr>
        <w:t>Представленным проектом предлагается внести следующие изменения:</w:t>
      </w:r>
    </w:p>
    <w:p w:rsidR="00D76FA2" w:rsidRPr="000E2238" w:rsidRDefault="00D76FA2" w:rsidP="00D76FA2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0E2238">
        <w:rPr>
          <w:sz w:val="26"/>
          <w:szCs w:val="26"/>
        </w:rPr>
        <w:t>В таблице пункта 2 строку: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3209"/>
        <w:gridCol w:w="5150"/>
        <w:gridCol w:w="1275"/>
      </w:tblGrid>
      <w:tr w:rsidR="000E2238" w:rsidRPr="000E2238" w:rsidTr="005935B6">
        <w:tc>
          <w:tcPr>
            <w:tcW w:w="3209" w:type="dxa"/>
          </w:tcPr>
          <w:p w:rsidR="00D76FA2" w:rsidRPr="000E2238" w:rsidRDefault="00D76FA2" w:rsidP="005935B6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0E2238">
              <w:rPr>
                <w:b/>
                <w:sz w:val="26"/>
                <w:szCs w:val="26"/>
              </w:rPr>
              <w:t>Номер вида разрешенного использования</w:t>
            </w:r>
          </w:p>
        </w:tc>
        <w:tc>
          <w:tcPr>
            <w:tcW w:w="5150" w:type="dxa"/>
          </w:tcPr>
          <w:p w:rsidR="00D76FA2" w:rsidRPr="000E2238" w:rsidRDefault="00D76FA2" w:rsidP="005935B6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0E2238">
              <w:rPr>
                <w:b/>
                <w:sz w:val="26"/>
                <w:szCs w:val="26"/>
              </w:rPr>
              <w:t>Вид разрешенного использования</w:t>
            </w:r>
          </w:p>
        </w:tc>
        <w:tc>
          <w:tcPr>
            <w:tcW w:w="1275" w:type="dxa"/>
          </w:tcPr>
          <w:p w:rsidR="00D76FA2" w:rsidRPr="000E2238" w:rsidRDefault="00D76FA2" w:rsidP="005935B6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0E2238">
              <w:rPr>
                <w:b/>
                <w:sz w:val="26"/>
                <w:szCs w:val="26"/>
              </w:rPr>
              <w:t>Ставка налога</w:t>
            </w:r>
          </w:p>
        </w:tc>
      </w:tr>
      <w:tr w:rsidR="000E2238" w:rsidRPr="000E2238" w:rsidTr="005935B6">
        <w:tc>
          <w:tcPr>
            <w:tcW w:w="3209" w:type="dxa"/>
          </w:tcPr>
          <w:p w:rsidR="00D76FA2" w:rsidRPr="000E2238" w:rsidRDefault="00D76FA2" w:rsidP="005935B6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</w:p>
          <w:p w:rsidR="00D76FA2" w:rsidRPr="000E2238" w:rsidRDefault="00D76FA2" w:rsidP="005935B6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</w:p>
          <w:p w:rsidR="00D76FA2" w:rsidRPr="000E2238" w:rsidRDefault="00D76FA2" w:rsidP="005935B6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0E2238">
              <w:rPr>
                <w:sz w:val="26"/>
                <w:szCs w:val="26"/>
              </w:rPr>
              <w:t>17</w:t>
            </w:r>
          </w:p>
        </w:tc>
        <w:tc>
          <w:tcPr>
            <w:tcW w:w="5150" w:type="dxa"/>
            <w:vAlign w:val="center"/>
          </w:tcPr>
          <w:p w:rsidR="00D76FA2" w:rsidRPr="000E2238" w:rsidRDefault="00D76FA2" w:rsidP="005935B6">
            <w:pPr>
              <w:ind w:left="23" w:right="81" w:hanging="23"/>
              <w:jc w:val="both"/>
              <w:rPr>
                <w:sz w:val="26"/>
                <w:szCs w:val="26"/>
              </w:rPr>
            </w:pPr>
            <w:r w:rsidRPr="000E2238">
              <w:rPr>
                <w:sz w:val="26"/>
                <w:szCs w:val="26"/>
              </w:rPr>
              <w:t>Земельные участки, предназначенные для размещения административных зданий объектов образования, науки, здравоохранения и социального обеспечения, физической культуры и спорта, культуры, искусства, религии</w:t>
            </w:r>
          </w:p>
        </w:tc>
        <w:tc>
          <w:tcPr>
            <w:tcW w:w="1275" w:type="dxa"/>
            <w:vAlign w:val="center"/>
          </w:tcPr>
          <w:p w:rsidR="00D76FA2" w:rsidRPr="000E2238" w:rsidRDefault="00D76FA2" w:rsidP="005935B6">
            <w:pPr>
              <w:jc w:val="center"/>
              <w:rPr>
                <w:sz w:val="26"/>
                <w:szCs w:val="26"/>
              </w:rPr>
            </w:pPr>
            <w:r w:rsidRPr="000E2238">
              <w:rPr>
                <w:sz w:val="26"/>
                <w:szCs w:val="26"/>
              </w:rPr>
              <w:t>1,5 %</w:t>
            </w:r>
          </w:p>
        </w:tc>
      </w:tr>
    </w:tbl>
    <w:p w:rsidR="00D76FA2" w:rsidRPr="000E2238" w:rsidRDefault="00D76FA2" w:rsidP="00D76FA2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D76FA2" w:rsidRPr="000E2238" w:rsidRDefault="00D76FA2" w:rsidP="00D76FA2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0E2238">
        <w:rPr>
          <w:sz w:val="26"/>
          <w:szCs w:val="26"/>
        </w:rPr>
        <w:t xml:space="preserve"> Изложить в новой редакции:</w:t>
      </w:r>
    </w:p>
    <w:p w:rsidR="00D76FA2" w:rsidRPr="000E2238" w:rsidRDefault="00D76FA2" w:rsidP="00D76FA2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3209"/>
        <w:gridCol w:w="5150"/>
        <w:gridCol w:w="1275"/>
      </w:tblGrid>
      <w:tr w:rsidR="000E2238" w:rsidRPr="000E2238" w:rsidTr="005935B6">
        <w:tc>
          <w:tcPr>
            <w:tcW w:w="3209" w:type="dxa"/>
          </w:tcPr>
          <w:p w:rsidR="00D76FA2" w:rsidRPr="000E2238" w:rsidRDefault="00D76FA2" w:rsidP="005935B6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0E2238">
              <w:rPr>
                <w:b/>
                <w:sz w:val="26"/>
                <w:szCs w:val="26"/>
              </w:rPr>
              <w:t>Номер вида разрешенного использования</w:t>
            </w:r>
          </w:p>
        </w:tc>
        <w:tc>
          <w:tcPr>
            <w:tcW w:w="5150" w:type="dxa"/>
          </w:tcPr>
          <w:p w:rsidR="00D76FA2" w:rsidRPr="000E2238" w:rsidRDefault="00D76FA2" w:rsidP="005935B6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0E2238">
              <w:rPr>
                <w:b/>
                <w:sz w:val="26"/>
                <w:szCs w:val="26"/>
              </w:rPr>
              <w:t>Вид разрешенного использования</w:t>
            </w:r>
          </w:p>
        </w:tc>
        <w:tc>
          <w:tcPr>
            <w:tcW w:w="1275" w:type="dxa"/>
          </w:tcPr>
          <w:p w:rsidR="00D76FA2" w:rsidRPr="000E2238" w:rsidRDefault="00D76FA2" w:rsidP="005935B6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0E2238">
              <w:rPr>
                <w:b/>
                <w:sz w:val="26"/>
                <w:szCs w:val="26"/>
              </w:rPr>
              <w:t>Ставка налога</w:t>
            </w:r>
          </w:p>
        </w:tc>
      </w:tr>
      <w:tr w:rsidR="000E2238" w:rsidRPr="000E2238" w:rsidTr="005935B6">
        <w:tc>
          <w:tcPr>
            <w:tcW w:w="3209" w:type="dxa"/>
            <w:vMerge w:val="restart"/>
          </w:tcPr>
          <w:p w:rsidR="00D76FA2" w:rsidRPr="000E2238" w:rsidRDefault="00D76FA2" w:rsidP="005935B6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</w:p>
          <w:p w:rsidR="00D76FA2" w:rsidRPr="000E2238" w:rsidRDefault="00D76FA2" w:rsidP="005935B6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</w:p>
          <w:p w:rsidR="00D76FA2" w:rsidRPr="000E2238" w:rsidRDefault="00D76FA2" w:rsidP="005935B6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0E2238">
              <w:rPr>
                <w:sz w:val="26"/>
                <w:szCs w:val="26"/>
              </w:rPr>
              <w:t>17</w:t>
            </w:r>
          </w:p>
        </w:tc>
        <w:tc>
          <w:tcPr>
            <w:tcW w:w="5150" w:type="dxa"/>
            <w:vAlign w:val="center"/>
          </w:tcPr>
          <w:p w:rsidR="00D76FA2" w:rsidRPr="000E2238" w:rsidRDefault="00D76FA2" w:rsidP="005935B6">
            <w:pPr>
              <w:ind w:left="23" w:right="81" w:hanging="23"/>
              <w:jc w:val="both"/>
              <w:rPr>
                <w:sz w:val="26"/>
                <w:szCs w:val="26"/>
              </w:rPr>
            </w:pPr>
            <w:r w:rsidRPr="000E2238">
              <w:rPr>
                <w:sz w:val="26"/>
                <w:szCs w:val="26"/>
              </w:rPr>
              <w:t>Земельные участки, предназначенные для размещения административных зданий объектов образования</w:t>
            </w:r>
          </w:p>
        </w:tc>
        <w:tc>
          <w:tcPr>
            <w:tcW w:w="1275" w:type="dxa"/>
            <w:vAlign w:val="center"/>
          </w:tcPr>
          <w:p w:rsidR="00D76FA2" w:rsidRPr="000E2238" w:rsidRDefault="00D76FA2" w:rsidP="005935B6">
            <w:pPr>
              <w:jc w:val="center"/>
              <w:rPr>
                <w:sz w:val="26"/>
                <w:szCs w:val="26"/>
              </w:rPr>
            </w:pPr>
            <w:r w:rsidRPr="000E2238">
              <w:rPr>
                <w:sz w:val="26"/>
                <w:szCs w:val="26"/>
              </w:rPr>
              <w:t>1 %</w:t>
            </w:r>
          </w:p>
        </w:tc>
      </w:tr>
      <w:tr w:rsidR="000E2238" w:rsidRPr="000E2238" w:rsidTr="005935B6">
        <w:tc>
          <w:tcPr>
            <w:tcW w:w="3209" w:type="dxa"/>
            <w:vMerge/>
          </w:tcPr>
          <w:p w:rsidR="00D76FA2" w:rsidRPr="000E2238" w:rsidRDefault="00D76FA2" w:rsidP="005935B6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150" w:type="dxa"/>
            <w:vAlign w:val="center"/>
          </w:tcPr>
          <w:p w:rsidR="00D76FA2" w:rsidRPr="000E2238" w:rsidRDefault="00D76FA2" w:rsidP="005935B6">
            <w:pPr>
              <w:ind w:left="23" w:right="81" w:hanging="23"/>
              <w:jc w:val="both"/>
              <w:rPr>
                <w:sz w:val="26"/>
                <w:szCs w:val="26"/>
              </w:rPr>
            </w:pPr>
            <w:r w:rsidRPr="000E2238">
              <w:rPr>
                <w:sz w:val="26"/>
                <w:szCs w:val="26"/>
              </w:rPr>
              <w:t>Земельные участки, предназначенные для размещения административных зданий объектов науки, здравоохранения и социального обеспечения, физической культуры и спорта, культуры, искусства, религии</w:t>
            </w:r>
          </w:p>
        </w:tc>
        <w:tc>
          <w:tcPr>
            <w:tcW w:w="1275" w:type="dxa"/>
            <w:vAlign w:val="center"/>
          </w:tcPr>
          <w:p w:rsidR="00D76FA2" w:rsidRPr="000E2238" w:rsidRDefault="00D76FA2" w:rsidP="005935B6">
            <w:pPr>
              <w:jc w:val="center"/>
              <w:rPr>
                <w:sz w:val="26"/>
                <w:szCs w:val="26"/>
              </w:rPr>
            </w:pPr>
            <w:r w:rsidRPr="000E2238">
              <w:rPr>
                <w:sz w:val="26"/>
                <w:szCs w:val="26"/>
              </w:rPr>
              <w:t>1,5</w:t>
            </w:r>
          </w:p>
        </w:tc>
      </w:tr>
    </w:tbl>
    <w:p w:rsidR="00D76FA2" w:rsidRPr="000E2238" w:rsidRDefault="00D76FA2" w:rsidP="00D76FA2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0E2238">
        <w:rPr>
          <w:sz w:val="26"/>
          <w:szCs w:val="26"/>
        </w:rPr>
        <w:t xml:space="preserve">В пояснительной записке заместителя главы города – председателя комитета по финансам указано, что проектом решения вносится предложение о снижении ставки земельного налога для «земельных участков, предназначенных для размещения административных зданий, объектов образования» с 1,5% до 1,0 %, для привлечения инвесторов в сферу «Строительство новых образовательных объектов), путем предоставления комфортных условий для них. </w:t>
      </w:r>
    </w:p>
    <w:p w:rsidR="00D76FA2" w:rsidRPr="000E2238" w:rsidRDefault="00D76FA2" w:rsidP="00D76FA2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0E2238">
        <w:rPr>
          <w:sz w:val="26"/>
          <w:szCs w:val="26"/>
        </w:rPr>
        <w:t>В ходе экспертизы проекта решения установлено следующее:</w:t>
      </w:r>
    </w:p>
    <w:p w:rsidR="00D76FA2" w:rsidRPr="000E2238" w:rsidRDefault="00D76FA2" w:rsidP="00D76FA2">
      <w:pPr>
        <w:pStyle w:val="ConsPlusTitle"/>
        <w:widowControl/>
        <w:ind w:firstLine="540"/>
        <w:jc w:val="both"/>
        <w:rPr>
          <w:b w:val="0"/>
          <w:sz w:val="26"/>
          <w:szCs w:val="26"/>
        </w:rPr>
      </w:pPr>
      <w:r w:rsidRPr="000E2238">
        <w:rPr>
          <w:b w:val="0"/>
          <w:sz w:val="26"/>
          <w:szCs w:val="26"/>
        </w:rPr>
        <w:t xml:space="preserve">Во исполнение протокола заседания Совета при Правительстве Ханты-Мансийского автономного округа – Югры по вопросам развития инвестиционной деятельности в Ханты-Мансийском округе –Югре от 16.12.2016 № 28, было заключено Соглашение от 13.02.2017 г. </w:t>
      </w:r>
      <w:r w:rsidR="00F338E0">
        <w:rPr>
          <w:b w:val="0"/>
          <w:sz w:val="26"/>
          <w:szCs w:val="26"/>
        </w:rPr>
        <w:t xml:space="preserve">№ б/н </w:t>
      </w:r>
      <w:r w:rsidRPr="000E2238">
        <w:rPr>
          <w:b w:val="0"/>
          <w:sz w:val="26"/>
          <w:szCs w:val="26"/>
        </w:rPr>
        <w:t xml:space="preserve">«О сотрудничестве по вопросам внедрения успешных практик» (далее – Соглашение) заключенного между Департаментом экономического развития Ханты-Мансийского автономного округа – Югры и Администрацией города Пыть-Яха. Согласно вышеупомянутому Соглашению, </w:t>
      </w:r>
      <w:r w:rsidRPr="000E2238">
        <w:rPr>
          <w:b w:val="0"/>
          <w:sz w:val="26"/>
          <w:szCs w:val="26"/>
        </w:rPr>
        <w:lastRenderedPageBreak/>
        <w:t>процесс внедрения практики «Формирование обоснованных эффективных ставок земельного налога и арендной платы за земельные участки для приоритетных категорий плательщиков» реализуется в указанном проекте</w:t>
      </w:r>
      <w:r w:rsidR="00406BF4" w:rsidRPr="000E2238">
        <w:rPr>
          <w:b w:val="0"/>
          <w:sz w:val="26"/>
          <w:szCs w:val="26"/>
        </w:rPr>
        <w:t xml:space="preserve"> решения</w:t>
      </w:r>
      <w:r w:rsidRPr="000E2238">
        <w:rPr>
          <w:b w:val="0"/>
          <w:sz w:val="26"/>
          <w:szCs w:val="26"/>
        </w:rPr>
        <w:t xml:space="preserve">, с целью улучшения инвестиционного климата. </w:t>
      </w:r>
    </w:p>
    <w:p w:rsidR="00D76FA2" w:rsidRPr="000E2238" w:rsidRDefault="00D76FA2" w:rsidP="00D76FA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E2238">
        <w:rPr>
          <w:sz w:val="26"/>
          <w:szCs w:val="26"/>
        </w:rPr>
        <w:t xml:space="preserve">В соответствии со ст. 387 НК РФ, земельный налог устанавливается Налоговым кодексом и нормативными правовыми актами представительных органов муниципальных образований, вводится в действие и прекращает действовать в соответствии с Налоговым кодексом и нормативными правовыми актами представительного органа муниципального образования и обязателен к уплате на территории этого муниципального образования. Статьей 16 Федерального закона от 06.10.2003 № 131-ФЗ определено, что к вопросам местного значения городского округа относятся, в том числе вопросы по установлению, изменению и отмене местных налогов и сборов городского округа. </w:t>
      </w:r>
    </w:p>
    <w:p w:rsidR="00D76FA2" w:rsidRPr="000E2238" w:rsidRDefault="00D76FA2" w:rsidP="00D76FA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E2238">
        <w:rPr>
          <w:sz w:val="26"/>
          <w:szCs w:val="26"/>
        </w:rPr>
        <w:t>В соответствии со ст. 19 Устава города Пыть-Яха к исключительной компетенции Думы города Пыть-Яха находится установление, изменение и отмена местных налогов и сборов в соответствии с законодательством Российской Федерации о налогах и сборах.</w:t>
      </w:r>
    </w:p>
    <w:p w:rsidR="00D76FA2" w:rsidRPr="000E2238" w:rsidRDefault="00D76FA2" w:rsidP="00D76FA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E2238">
        <w:rPr>
          <w:sz w:val="26"/>
          <w:szCs w:val="26"/>
        </w:rPr>
        <w:t xml:space="preserve">Согласно ст. 15 НК РФ к местным налогам относят в том числе земельный налог. </w:t>
      </w:r>
    </w:p>
    <w:p w:rsidR="00D76FA2" w:rsidRPr="000E2238" w:rsidRDefault="00D76FA2" w:rsidP="00D76FA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E2238">
        <w:rPr>
          <w:sz w:val="26"/>
          <w:szCs w:val="26"/>
          <w:shd w:val="clear" w:color="auto" w:fill="FFFFFF"/>
        </w:rPr>
        <w:t xml:space="preserve">Согласно п. 2 ст. 387 НК РФ, устанавливая земельный налог, представительные органы муниципальных образований определяют налоговые ставки в пределах, установленных статьей 394 НК РФ. </w:t>
      </w:r>
    </w:p>
    <w:p w:rsidR="00D76FA2" w:rsidRPr="000E2238" w:rsidRDefault="00D76FA2" w:rsidP="00D76FA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E2238">
        <w:rPr>
          <w:sz w:val="26"/>
          <w:szCs w:val="26"/>
        </w:rPr>
        <w:t>В соответствии с п. 1 ст. 394 НК РФ определено, что налоговые ставки для исчисления земельного налога  в отношении земельных участков,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 занятых </w:t>
      </w:r>
      <w:hyperlink r:id="rId7" w:anchor="dst100149" w:history="1">
        <w:r w:rsidRPr="000E2238">
          <w:rPr>
            <w:rStyle w:val="a6"/>
            <w:color w:val="auto"/>
            <w:sz w:val="26"/>
            <w:szCs w:val="26"/>
            <w:u w:val="none"/>
          </w:rPr>
          <w:t>жилищным фондом</w:t>
        </w:r>
      </w:hyperlink>
      <w:r w:rsidRPr="000E2238">
        <w:rPr>
          <w:sz w:val="26"/>
          <w:szCs w:val="26"/>
        </w:rPr>
        <w:t> 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строительства;</w:t>
      </w:r>
      <w:r w:rsidRPr="000E2238">
        <w:rPr>
          <w:sz w:val="26"/>
          <w:szCs w:val="26"/>
          <w:shd w:val="clear" w:color="auto" w:fill="FFFFFF"/>
        </w:rPr>
        <w:t xml:space="preserve"> </w:t>
      </w:r>
      <w:r w:rsidRPr="000E2238">
        <w:rPr>
          <w:sz w:val="26"/>
          <w:szCs w:val="26"/>
        </w:rPr>
        <w:t>приобретенных (предоставленных) для </w:t>
      </w:r>
      <w:hyperlink r:id="rId8" w:anchor="dst100022" w:history="1">
        <w:r w:rsidRPr="000E2238">
          <w:rPr>
            <w:rStyle w:val="a6"/>
            <w:color w:val="auto"/>
            <w:sz w:val="26"/>
            <w:szCs w:val="26"/>
            <w:u w:val="none"/>
          </w:rPr>
          <w:t>личного подсобного хозяйства</w:t>
        </w:r>
      </w:hyperlink>
      <w:r w:rsidRPr="000E2238">
        <w:rPr>
          <w:sz w:val="26"/>
          <w:szCs w:val="26"/>
        </w:rPr>
        <w:t>, садоводства, огородничества или животноводства, а также дачного хозяйства; ограниченных в обороте в соответствии с </w:t>
      </w:r>
      <w:hyperlink r:id="rId9" w:anchor="dst100225" w:history="1">
        <w:r w:rsidRPr="000E2238">
          <w:rPr>
            <w:rStyle w:val="a6"/>
            <w:color w:val="auto"/>
            <w:sz w:val="26"/>
            <w:szCs w:val="26"/>
            <w:u w:val="none"/>
          </w:rPr>
          <w:t>законодательством</w:t>
        </w:r>
      </w:hyperlink>
      <w:r w:rsidRPr="000E2238">
        <w:rPr>
          <w:sz w:val="26"/>
          <w:szCs w:val="26"/>
        </w:rPr>
        <w:t> Российской Федерации, предоставленных для обеспечения обороны, безопасности и таможенных нужд, ставки не могут превышать 0,3 % и 1,5 % в отношении прочих земельных участков.</w:t>
      </w:r>
    </w:p>
    <w:p w:rsidR="00D76FA2" w:rsidRPr="000E2238" w:rsidRDefault="00D76FA2" w:rsidP="00D76FA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E2238">
        <w:rPr>
          <w:sz w:val="26"/>
          <w:szCs w:val="26"/>
        </w:rPr>
        <w:t xml:space="preserve">В соответствии с п. 2 ст. 394 НК РФ представительным органам муниципальных образований дано право дифференцировать налоговые ставки в зависимости от категорий земель и разрешенного использования земельного участка. Таким образом предлагаемые изменения соответствуют требованиям действующего законодательства, в </w:t>
      </w:r>
      <w:proofErr w:type="spellStart"/>
      <w:r w:rsidRPr="000E2238">
        <w:rPr>
          <w:sz w:val="26"/>
          <w:szCs w:val="26"/>
        </w:rPr>
        <w:t>т.ч</w:t>
      </w:r>
      <w:proofErr w:type="spellEnd"/>
      <w:r w:rsidRPr="000E2238">
        <w:rPr>
          <w:sz w:val="26"/>
          <w:szCs w:val="26"/>
        </w:rPr>
        <w:t>. установленные в проекте решения налоговые ставки в отношении прочих земельных участков не превышают предельные ставки, установленные НК РФ.</w:t>
      </w:r>
    </w:p>
    <w:p w:rsidR="00D76FA2" w:rsidRPr="000E2238" w:rsidRDefault="00D76FA2" w:rsidP="00D76FA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E2238">
        <w:rPr>
          <w:sz w:val="26"/>
          <w:szCs w:val="26"/>
        </w:rPr>
        <w:t>Проектом предусмотрено вступление в силу решения с 1 января 2018 года, что соответствует требованиям ст.5 НК РФ.</w:t>
      </w:r>
    </w:p>
    <w:p w:rsidR="00D76FA2" w:rsidRPr="000E2238" w:rsidRDefault="00D76FA2" w:rsidP="00D76FA2">
      <w:pPr>
        <w:ind w:firstLine="540"/>
        <w:jc w:val="both"/>
        <w:rPr>
          <w:bCs/>
          <w:sz w:val="26"/>
          <w:szCs w:val="26"/>
        </w:rPr>
      </w:pPr>
      <w:r w:rsidRPr="000E2238">
        <w:rPr>
          <w:bCs/>
          <w:sz w:val="26"/>
          <w:szCs w:val="26"/>
        </w:rPr>
        <w:t xml:space="preserve">В соответствии с п. 2 ст. 64 БК РФ, в Положении о бюджетном процессе в муниципальном образовании городской округ город Пыть-Ях, утвержденного решением Думы города Пыть-Яха от 21.03.2014 № 258, было установлено п. 2  ст. 18, что Решения Думы города Пыть-Яха о налогах и сборах, внесении изменений и </w:t>
      </w:r>
      <w:r w:rsidRPr="000E2238">
        <w:rPr>
          <w:bCs/>
          <w:sz w:val="26"/>
          <w:szCs w:val="26"/>
        </w:rPr>
        <w:lastRenderedPageBreak/>
        <w:t xml:space="preserve">дополнений в указанные решения, приводящие к изменению доходов (расходов) бюджета муниципального образования и вступающие в силу в очередном финансовом году, должны быть приняты до 1 октября текущего года. Учитывая ст. 2 Федерального закона от 30.09.2017 № 285-ФЗ «О внесении изменений в Бюджетный кодекс Российской Федерации», который приостанавливает </w:t>
      </w:r>
      <w:r w:rsidRPr="000E2238">
        <w:rPr>
          <w:sz w:val="26"/>
          <w:szCs w:val="26"/>
        </w:rPr>
        <w:t xml:space="preserve">до 1 января 2018 года действие    </w:t>
      </w:r>
      <w:hyperlink r:id="rId10" w:history="1">
        <w:r w:rsidRPr="000E2238">
          <w:rPr>
            <w:sz w:val="26"/>
            <w:szCs w:val="26"/>
          </w:rPr>
          <w:t>п. 2 ст. 64</w:t>
        </w:r>
      </w:hyperlink>
      <w:r w:rsidRPr="000E2238">
        <w:rPr>
          <w:sz w:val="26"/>
          <w:szCs w:val="26"/>
        </w:rPr>
        <w:t xml:space="preserve"> БК РФ, представленный проект решения соответствует требованиям Бюджетного законодательства.</w:t>
      </w:r>
    </w:p>
    <w:p w:rsidR="00D76FA2" w:rsidRPr="000E2238" w:rsidRDefault="00D76FA2" w:rsidP="00D76FA2">
      <w:pPr>
        <w:pStyle w:val="ConsPlusTitle"/>
        <w:widowControl/>
        <w:ind w:firstLine="540"/>
        <w:jc w:val="both"/>
        <w:rPr>
          <w:b w:val="0"/>
          <w:sz w:val="26"/>
          <w:szCs w:val="26"/>
        </w:rPr>
      </w:pPr>
      <w:r w:rsidRPr="000E2238">
        <w:rPr>
          <w:b w:val="0"/>
          <w:sz w:val="26"/>
          <w:szCs w:val="26"/>
        </w:rPr>
        <w:t>Данный проект решения прошел правовой анализ в Межрайонной инспекции федеральной налоговой службы России № 7 по ХМАО-Югре, в результате которого установлено, что проект решения не противоречит нормам действующего налогового законодательства.</w:t>
      </w:r>
    </w:p>
    <w:p w:rsidR="005A0093" w:rsidRDefault="00406BF4" w:rsidP="00D76FA2">
      <w:pPr>
        <w:pStyle w:val="ConsPlusTitle"/>
        <w:widowControl/>
        <w:ind w:firstLine="540"/>
        <w:jc w:val="both"/>
        <w:rPr>
          <w:b w:val="0"/>
          <w:sz w:val="26"/>
          <w:szCs w:val="26"/>
        </w:rPr>
      </w:pPr>
      <w:r w:rsidRPr="000E2238">
        <w:rPr>
          <w:b w:val="0"/>
          <w:sz w:val="26"/>
          <w:szCs w:val="26"/>
        </w:rPr>
        <w:t xml:space="preserve">Предлагаем </w:t>
      </w:r>
      <w:r w:rsidR="005A0093" w:rsidRPr="000E2238">
        <w:rPr>
          <w:b w:val="0"/>
          <w:sz w:val="26"/>
          <w:szCs w:val="26"/>
        </w:rPr>
        <w:t>строк</w:t>
      </w:r>
      <w:r w:rsidR="000E2238">
        <w:rPr>
          <w:b w:val="0"/>
          <w:sz w:val="26"/>
          <w:szCs w:val="26"/>
        </w:rPr>
        <w:t>у</w:t>
      </w:r>
      <w:r w:rsidR="005A0093" w:rsidRPr="000E2238">
        <w:rPr>
          <w:b w:val="0"/>
          <w:sz w:val="26"/>
          <w:szCs w:val="26"/>
        </w:rPr>
        <w:t xml:space="preserve"> 17, </w:t>
      </w:r>
      <w:r w:rsidRPr="000E2238">
        <w:rPr>
          <w:b w:val="0"/>
          <w:sz w:val="26"/>
          <w:szCs w:val="26"/>
        </w:rPr>
        <w:t>которая предложена к изложению</w:t>
      </w:r>
      <w:r w:rsidR="005A0093" w:rsidRPr="000E2238">
        <w:rPr>
          <w:b w:val="0"/>
          <w:sz w:val="26"/>
          <w:szCs w:val="26"/>
        </w:rPr>
        <w:t xml:space="preserve"> в новой редакции</w:t>
      </w:r>
      <w:r w:rsidR="000E2238">
        <w:rPr>
          <w:b w:val="0"/>
          <w:sz w:val="26"/>
          <w:szCs w:val="26"/>
        </w:rPr>
        <w:t xml:space="preserve"> проектом решения</w:t>
      </w:r>
      <w:r w:rsidR="005A0093" w:rsidRPr="000E2238">
        <w:rPr>
          <w:b w:val="0"/>
          <w:sz w:val="26"/>
          <w:szCs w:val="26"/>
        </w:rPr>
        <w:t xml:space="preserve">, </w:t>
      </w:r>
      <w:r w:rsidRPr="000E2238">
        <w:rPr>
          <w:b w:val="0"/>
          <w:sz w:val="26"/>
          <w:szCs w:val="26"/>
        </w:rPr>
        <w:t xml:space="preserve">изложить с учетом утвержденных видов разрешенного использования, утвержденных Приказом </w:t>
      </w:r>
      <w:r w:rsidR="00332B03">
        <w:rPr>
          <w:b w:val="0"/>
          <w:sz w:val="26"/>
          <w:szCs w:val="26"/>
        </w:rPr>
        <w:t xml:space="preserve">Минэкономразвития РФ </w:t>
      </w:r>
      <w:r w:rsidR="00332B03" w:rsidRPr="000E2238">
        <w:rPr>
          <w:b w:val="0"/>
          <w:sz w:val="26"/>
          <w:szCs w:val="26"/>
        </w:rPr>
        <w:t>от</w:t>
      </w:r>
      <w:r w:rsidRPr="000E2238">
        <w:rPr>
          <w:b w:val="0"/>
          <w:sz w:val="26"/>
          <w:szCs w:val="26"/>
        </w:rPr>
        <w:t xml:space="preserve"> 15.02.2007 № 39</w:t>
      </w:r>
      <w:r w:rsidR="000E2238">
        <w:rPr>
          <w:b w:val="0"/>
          <w:sz w:val="26"/>
          <w:szCs w:val="26"/>
        </w:rPr>
        <w:t>, а именно:</w:t>
      </w:r>
    </w:p>
    <w:p w:rsidR="00FB695E" w:rsidRDefault="00FB695E" w:rsidP="00D76FA2">
      <w:pPr>
        <w:pStyle w:val="ConsPlusTitle"/>
        <w:widowControl/>
        <w:ind w:firstLine="540"/>
        <w:jc w:val="both"/>
        <w:rPr>
          <w:b w:val="0"/>
          <w:sz w:val="26"/>
          <w:szCs w:val="26"/>
        </w:rPr>
      </w:pPr>
    </w:p>
    <w:tbl>
      <w:tblPr>
        <w:tblStyle w:val="a3"/>
        <w:tblW w:w="9746" w:type="dxa"/>
        <w:tblLook w:val="04A0" w:firstRow="1" w:lastRow="0" w:firstColumn="1" w:lastColumn="0" w:noHBand="0" w:noVBand="1"/>
      </w:tblPr>
      <w:tblGrid>
        <w:gridCol w:w="530"/>
        <w:gridCol w:w="1990"/>
        <w:gridCol w:w="5560"/>
        <w:gridCol w:w="1246"/>
        <w:gridCol w:w="420"/>
      </w:tblGrid>
      <w:tr w:rsidR="00F338E0" w:rsidRPr="000E2238" w:rsidTr="00F338E0">
        <w:tc>
          <w:tcPr>
            <w:tcW w:w="53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38E0" w:rsidRDefault="00F338E0" w:rsidP="005935B6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</w:p>
          <w:p w:rsidR="00F338E0" w:rsidRDefault="00F338E0" w:rsidP="005935B6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</w:p>
          <w:p w:rsidR="00F338E0" w:rsidRDefault="00F338E0" w:rsidP="005935B6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</w:p>
          <w:p w:rsidR="00F338E0" w:rsidRDefault="00F338E0" w:rsidP="005935B6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</w:p>
          <w:p w:rsidR="00F338E0" w:rsidRDefault="00F338E0" w:rsidP="005935B6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</w:p>
          <w:p w:rsidR="00F338E0" w:rsidRDefault="00F338E0" w:rsidP="005935B6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</w:p>
          <w:p w:rsidR="00F338E0" w:rsidRPr="000E2238" w:rsidRDefault="00F338E0" w:rsidP="005935B6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:rsidR="00F338E0" w:rsidRPr="000E2238" w:rsidRDefault="00F338E0" w:rsidP="005935B6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0E2238">
              <w:rPr>
                <w:b/>
                <w:sz w:val="26"/>
                <w:szCs w:val="26"/>
              </w:rPr>
              <w:t>Номер вида разрешенного использования</w:t>
            </w:r>
          </w:p>
        </w:tc>
        <w:tc>
          <w:tcPr>
            <w:tcW w:w="5560" w:type="dxa"/>
          </w:tcPr>
          <w:p w:rsidR="00F338E0" w:rsidRPr="000E2238" w:rsidRDefault="00F338E0" w:rsidP="005935B6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0E2238">
              <w:rPr>
                <w:b/>
                <w:sz w:val="26"/>
                <w:szCs w:val="26"/>
              </w:rPr>
              <w:t>Вид разрешенного использования</w:t>
            </w:r>
          </w:p>
        </w:tc>
        <w:tc>
          <w:tcPr>
            <w:tcW w:w="1246" w:type="dxa"/>
            <w:tcBorders>
              <w:right w:val="single" w:sz="4" w:space="0" w:color="auto"/>
            </w:tcBorders>
          </w:tcPr>
          <w:p w:rsidR="00F338E0" w:rsidRPr="000E2238" w:rsidRDefault="00F338E0" w:rsidP="005935B6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0E2238">
              <w:rPr>
                <w:b/>
                <w:sz w:val="26"/>
                <w:szCs w:val="26"/>
              </w:rPr>
              <w:t>Ставка налога</w:t>
            </w:r>
          </w:p>
        </w:tc>
        <w:tc>
          <w:tcPr>
            <w:tcW w:w="4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38E0" w:rsidRDefault="00F338E0" w:rsidP="005935B6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</w:p>
          <w:p w:rsidR="00F338E0" w:rsidRDefault="00F338E0" w:rsidP="005935B6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</w:p>
          <w:p w:rsidR="00F338E0" w:rsidRDefault="00F338E0" w:rsidP="005935B6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</w:p>
          <w:p w:rsidR="00F338E0" w:rsidRDefault="00F338E0" w:rsidP="005935B6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</w:p>
          <w:p w:rsidR="00F338E0" w:rsidRDefault="00F338E0" w:rsidP="00F338E0">
            <w:pPr>
              <w:tabs>
                <w:tab w:val="left" w:pos="567"/>
              </w:tabs>
              <w:rPr>
                <w:b/>
                <w:sz w:val="26"/>
                <w:szCs w:val="26"/>
              </w:rPr>
            </w:pPr>
          </w:p>
          <w:p w:rsidR="00F338E0" w:rsidRPr="000E2238" w:rsidRDefault="00F338E0" w:rsidP="00F338E0">
            <w:pPr>
              <w:tabs>
                <w:tab w:val="left" w:pos="567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».</w:t>
            </w:r>
          </w:p>
        </w:tc>
      </w:tr>
      <w:tr w:rsidR="00F338E0" w:rsidRPr="000E2238" w:rsidTr="00F338E0">
        <w:tc>
          <w:tcPr>
            <w:tcW w:w="53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38E0" w:rsidRPr="000E2238" w:rsidRDefault="00F338E0" w:rsidP="005935B6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990" w:type="dxa"/>
            <w:vMerge w:val="restart"/>
            <w:tcBorders>
              <w:left w:val="single" w:sz="4" w:space="0" w:color="auto"/>
            </w:tcBorders>
          </w:tcPr>
          <w:p w:rsidR="00F338E0" w:rsidRPr="000E2238" w:rsidRDefault="00F338E0" w:rsidP="005935B6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</w:p>
          <w:p w:rsidR="00F338E0" w:rsidRPr="000E2238" w:rsidRDefault="00F338E0" w:rsidP="005935B6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  <w:p w:rsidR="00F338E0" w:rsidRPr="000E2238" w:rsidRDefault="00F338E0" w:rsidP="005935B6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0E2238">
              <w:rPr>
                <w:sz w:val="26"/>
                <w:szCs w:val="26"/>
              </w:rPr>
              <w:t>17</w:t>
            </w:r>
          </w:p>
        </w:tc>
        <w:tc>
          <w:tcPr>
            <w:tcW w:w="5560" w:type="dxa"/>
            <w:vAlign w:val="center"/>
          </w:tcPr>
          <w:p w:rsidR="00F338E0" w:rsidRPr="000E2238" w:rsidRDefault="00F338E0" w:rsidP="005935B6">
            <w:pPr>
              <w:ind w:left="23" w:right="81" w:hanging="23"/>
              <w:jc w:val="both"/>
              <w:rPr>
                <w:sz w:val="26"/>
                <w:szCs w:val="26"/>
              </w:rPr>
            </w:pPr>
            <w:r w:rsidRPr="000E2238">
              <w:rPr>
                <w:sz w:val="26"/>
                <w:szCs w:val="26"/>
              </w:rPr>
              <w:t>Земельные участки, предназначенные для размещения административных зданий</w:t>
            </w:r>
            <w:r>
              <w:rPr>
                <w:sz w:val="26"/>
                <w:szCs w:val="26"/>
              </w:rPr>
              <w:t>,</w:t>
            </w:r>
            <w:r w:rsidRPr="000E2238">
              <w:rPr>
                <w:sz w:val="26"/>
                <w:szCs w:val="26"/>
              </w:rPr>
              <w:t xml:space="preserve"> объектов образования</w:t>
            </w:r>
          </w:p>
        </w:tc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F338E0" w:rsidRPr="000E2238" w:rsidRDefault="00F338E0" w:rsidP="005935B6">
            <w:pPr>
              <w:jc w:val="center"/>
              <w:rPr>
                <w:sz w:val="26"/>
                <w:szCs w:val="26"/>
              </w:rPr>
            </w:pPr>
            <w:r w:rsidRPr="000E2238">
              <w:rPr>
                <w:sz w:val="26"/>
                <w:szCs w:val="26"/>
              </w:rPr>
              <w:t>1 %</w:t>
            </w: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38E0" w:rsidRPr="000E2238" w:rsidRDefault="00F338E0" w:rsidP="005935B6">
            <w:pPr>
              <w:jc w:val="center"/>
              <w:rPr>
                <w:sz w:val="26"/>
                <w:szCs w:val="26"/>
              </w:rPr>
            </w:pPr>
          </w:p>
        </w:tc>
      </w:tr>
      <w:tr w:rsidR="00F338E0" w:rsidRPr="000E2238" w:rsidTr="00F338E0">
        <w:tc>
          <w:tcPr>
            <w:tcW w:w="53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38E0" w:rsidRPr="000E2238" w:rsidRDefault="00F338E0" w:rsidP="005935B6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</w:tcBorders>
          </w:tcPr>
          <w:p w:rsidR="00F338E0" w:rsidRPr="000E2238" w:rsidRDefault="00F338E0" w:rsidP="005935B6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560" w:type="dxa"/>
            <w:vAlign w:val="center"/>
          </w:tcPr>
          <w:p w:rsidR="00F338E0" w:rsidRPr="000E2238" w:rsidRDefault="00F338E0" w:rsidP="005935B6">
            <w:pPr>
              <w:ind w:left="23" w:right="81" w:hanging="23"/>
              <w:jc w:val="both"/>
              <w:rPr>
                <w:sz w:val="26"/>
                <w:szCs w:val="26"/>
              </w:rPr>
            </w:pPr>
            <w:r w:rsidRPr="000E2238">
              <w:rPr>
                <w:sz w:val="26"/>
                <w:szCs w:val="26"/>
              </w:rPr>
              <w:t>Земельные участки, предназначенные для размещения административных зданий</w:t>
            </w:r>
            <w:r>
              <w:rPr>
                <w:sz w:val="26"/>
                <w:szCs w:val="26"/>
              </w:rPr>
              <w:t>,</w:t>
            </w:r>
            <w:r w:rsidRPr="000E2238">
              <w:rPr>
                <w:sz w:val="26"/>
                <w:szCs w:val="26"/>
              </w:rPr>
              <w:t xml:space="preserve"> объектов науки, здравоохранения и социального обеспечения, физической культуры и спорта, культуры, искусства, религии</w:t>
            </w:r>
          </w:p>
        </w:tc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F338E0" w:rsidRPr="000E2238" w:rsidRDefault="00F338E0" w:rsidP="005935B6">
            <w:pPr>
              <w:jc w:val="center"/>
              <w:rPr>
                <w:sz w:val="26"/>
                <w:szCs w:val="26"/>
              </w:rPr>
            </w:pPr>
            <w:r w:rsidRPr="000E2238">
              <w:rPr>
                <w:sz w:val="26"/>
                <w:szCs w:val="26"/>
              </w:rPr>
              <w:t>1,5</w:t>
            </w:r>
            <w:r>
              <w:rPr>
                <w:sz w:val="26"/>
                <w:szCs w:val="26"/>
              </w:rPr>
              <w:t>%</w:t>
            </w: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38E0" w:rsidRPr="000E2238" w:rsidRDefault="00F338E0" w:rsidP="005935B6">
            <w:pPr>
              <w:jc w:val="center"/>
              <w:rPr>
                <w:sz w:val="26"/>
                <w:szCs w:val="26"/>
              </w:rPr>
            </w:pPr>
          </w:p>
        </w:tc>
      </w:tr>
    </w:tbl>
    <w:p w:rsidR="000E2238" w:rsidRPr="000E2238" w:rsidRDefault="000E2238" w:rsidP="00D76FA2">
      <w:pPr>
        <w:pStyle w:val="ConsPlusTitle"/>
        <w:widowControl/>
        <w:ind w:firstLine="540"/>
        <w:jc w:val="both"/>
        <w:rPr>
          <w:b w:val="0"/>
          <w:sz w:val="26"/>
          <w:szCs w:val="26"/>
        </w:rPr>
      </w:pPr>
    </w:p>
    <w:p w:rsidR="00406BF4" w:rsidRPr="000E2238" w:rsidRDefault="00406BF4" w:rsidP="00D76FA2">
      <w:pPr>
        <w:pStyle w:val="ConsPlusTitle"/>
        <w:widowControl/>
        <w:ind w:firstLine="540"/>
        <w:jc w:val="both"/>
        <w:rPr>
          <w:b w:val="0"/>
          <w:sz w:val="26"/>
          <w:szCs w:val="26"/>
        </w:rPr>
      </w:pPr>
    </w:p>
    <w:p w:rsidR="00D76FA2" w:rsidRPr="000E2238" w:rsidRDefault="00D76FA2" w:rsidP="00D76FA2">
      <w:pPr>
        <w:pStyle w:val="ConsPlusTitle"/>
        <w:widowControl/>
        <w:ind w:firstLine="540"/>
        <w:jc w:val="both"/>
        <w:rPr>
          <w:b w:val="0"/>
          <w:sz w:val="26"/>
          <w:szCs w:val="26"/>
        </w:rPr>
      </w:pPr>
      <w:r w:rsidRPr="000E2238">
        <w:rPr>
          <w:b w:val="0"/>
          <w:sz w:val="26"/>
          <w:szCs w:val="26"/>
        </w:rPr>
        <w:t xml:space="preserve">К проекту решения имеются замечания технического характера. </w:t>
      </w:r>
    </w:p>
    <w:p w:rsidR="00D76FA2" w:rsidRPr="000E2238" w:rsidRDefault="00D76FA2" w:rsidP="00D76FA2">
      <w:pPr>
        <w:pStyle w:val="ConsPlusTitle"/>
        <w:widowControl/>
        <w:ind w:firstLine="540"/>
        <w:jc w:val="both"/>
        <w:rPr>
          <w:b w:val="0"/>
          <w:sz w:val="26"/>
          <w:szCs w:val="26"/>
        </w:rPr>
      </w:pPr>
    </w:p>
    <w:p w:rsidR="00D76FA2" w:rsidRPr="000E2238" w:rsidRDefault="00D76FA2" w:rsidP="003D42AB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0E2238">
        <w:rPr>
          <w:sz w:val="26"/>
          <w:szCs w:val="26"/>
        </w:rPr>
        <w:t xml:space="preserve">На основании вышеизложенного, считаем возможным рекомендовать к рассмотрению проект решения Думы города Пыть-Яха </w:t>
      </w:r>
      <w:r w:rsidR="003D42AB" w:rsidRPr="003D42AB">
        <w:rPr>
          <w:sz w:val="26"/>
          <w:szCs w:val="26"/>
        </w:rPr>
        <w:t>«О внесении изменений в решение Думы города от 22.09.2008 № 330</w:t>
      </w:r>
      <w:r w:rsidR="003D42AB" w:rsidRPr="003D42AB">
        <w:rPr>
          <w:b/>
          <w:sz w:val="26"/>
          <w:szCs w:val="26"/>
        </w:rPr>
        <w:t xml:space="preserve"> </w:t>
      </w:r>
      <w:r w:rsidR="003D42AB" w:rsidRPr="003D42AB">
        <w:rPr>
          <w:sz w:val="26"/>
          <w:szCs w:val="26"/>
        </w:rPr>
        <w:t>«Об установлении земельного налога на территории муниципального образования городской округ город Пыть-Ях» (в ред. от 27.11.2008 № 356, от 20.10.2009 № 446, от 21.10.2010 № 577, от 30.03.2011 № 8, от 26.09.2012 № 167, от 24.12.2013 № 248, от 30.09.2014 № 277, от 25.11.2014 № 300, от 18.02.2015 № 310, от 15.12.2015 № 368, от 25.05.2016 № 425)</w:t>
      </w:r>
      <w:r w:rsidRPr="000E2238">
        <w:rPr>
          <w:sz w:val="26"/>
          <w:szCs w:val="26"/>
        </w:rPr>
        <w:t>, с учетом предложения</w:t>
      </w:r>
      <w:r w:rsidR="000E2238">
        <w:rPr>
          <w:sz w:val="26"/>
          <w:szCs w:val="26"/>
        </w:rPr>
        <w:t xml:space="preserve"> и замечаний</w:t>
      </w:r>
      <w:r w:rsidRPr="000E2238">
        <w:rPr>
          <w:sz w:val="26"/>
          <w:szCs w:val="26"/>
        </w:rPr>
        <w:t xml:space="preserve"> Счетно-контрольной палаты. </w:t>
      </w:r>
    </w:p>
    <w:p w:rsidR="00D76FA2" w:rsidRPr="000E2238" w:rsidRDefault="00D76FA2" w:rsidP="00D76FA2">
      <w:pPr>
        <w:tabs>
          <w:tab w:val="left" w:pos="567"/>
        </w:tabs>
        <w:jc w:val="both"/>
        <w:rPr>
          <w:sz w:val="26"/>
          <w:szCs w:val="26"/>
        </w:rPr>
      </w:pPr>
    </w:p>
    <w:p w:rsidR="00D76FA2" w:rsidRPr="000E2238" w:rsidRDefault="00D76FA2" w:rsidP="00D76FA2">
      <w:pPr>
        <w:tabs>
          <w:tab w:val="left" w:pos="567"/>
        </w:tabs>
        <w:jc w:val="both"/>
        <w:rPr>
          <w:sz w:val="26"/>
          <w:szCs w:val="26"/>
        </w:rPr>
      </w:pPr>
    </w:p>
    <w:p w:rsidR="00D76FA2" w:rsidRPr="000E2238" w:rsidRDefault="00D76FA2" w:rsidP="00D76FA2">
      <w:pPr>
        <w:tabs>
          <w:tab w:val="left" w:pos="567"/>
        </w:tabs>
        <w:jc w:val="both"/>
        <w:rPr>
          <w:sz w:val="26"/>
          <w:szCs w:val="26"/>
        </w:rPr>
      </w:pPr>
    </w:p>
    <w:p w:rsidR="00D76FA2" w:rsidRPr="000E2238" w:rsidRDefault="00D76FA2" w:rsidP="00D76FA2">
      <w:pPr>
        <w:tabs>
          <w:tab w:val="left" w:pos="567"/>
        </w:tabs>
        <w:jc w:val="both"/>
        <w:rPr>
          <w:sz w:val="26"/>
          <w:szCs w:val="26"/>
        </w:rPr>
      </w:pPr>
      <w:r w:rsidRPr="000E2238">
        <w:rPr>
          <w:sz w:val="26"/>
          <w:szCs w:val="26"/>
        </w:rPr>
        <w:t xml:space="preserve">Инспектор </w:t>
      </w:r>
    </w:p>
    <w:p w:rsidR="00D76FA2" w:rsidRPr="000E2238" w:rsidRDefault="00D76FA2" w:rsidP="00D76FA2">
      <w:pPr>
        <w:tabs>
          <w:tab w:val="left" w:pos="567"/>
        </w:tabs>
        <w:jc w:val="both"/>
        <w:rPr>
          <w:sz w:val="26"/>
          <w:szCs w:val="26"/>
        </w:rPr>
      </w:pPr>
      <w:r w:rsidRPr="000E2238">
        <w:rPr>
          <w:sz w:val="26"/>
          <w:szCs w:val="26"/>
        </w:rPr>
        <w:t>Счетно-контрольной палаты</w:t>
      </w:r>
    </w:p>
    <w:p w:rsidR="00D76FA2" w:rsidRPr="000E2238" w:rsidRDefault="00D76FA2" w:rsidP="00D76FA2">
      <w:pPr>
        <w:tabs>
          <w:tab w:val="left" w:pos="567"/>
        </w:tabs>
        <w:jc w:val="both"/>
        <w:rPr>
          <w:sz w:val="26"/>
          <w:szCs w:val="26"/>
        </w:rPr>
      </w:pPr>
      <w:r w:rsidRPr="000E2238">
        <w:rPr>
          <w:sz w:val="26"/>
          <w:szCs w:val="26"/>
        </w:rPr>
        <w:t xml:space="preserve">города Пыть-Яха                                                                                               Г.Ф. Урубкова </w:t>
      </w:r>
    </w:p>
    <w:p w:rsidR="001C5E06" w:rsidRPr="000E2238" w:rsidRDefault="001C5E06">
      <w:pPr>
        <w:rPr>
          <w:sz w:val="26"/>
          <w:szCs w:val="26"/>
        </w:rPr>
      </w:pPr>
    </w:p>
    <w:p w:rsidR="005A0093" w:rsidRPr="000E2238" w:rsidRDefault="005A0093">
      <w:pPr>
        <w:rPr>
          <w:sz w:val="26"/>
          <w:szCs w:val="26"/>
        </w:rPr>
      </w:pPr>
    </w:p>
    <w:sectPr w:rsidR="005A0093" w:rsidRPr="000E2238" w:rsidSect="00B11EA3">
      <w:footerReference w:type="default" r:id="rId11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F88" w:rsidRDefault="00612F88">
      <w:r>
        <w:separator/>
      </w:r>
    </w:p>
  </w:endnote>
  <w:endnote w:type="continuationSeparator" w:id="0">
    <w:p w:rsidR="00612F88" w:rsidRDefault="0061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3331231"/>
      <w:docPartObj>
        <w:docPartGallery w:val="Page Numbers (Bottom of Page)"/>
        <w:docPartUnique/>
      </w:docPartObj>
    </w:sdtPr>
    <w:sdtEndPr/>
    <w:sdtContent>
      <w:p w:rsidR="00C0661D" w:rsidRDefault="0002633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2B03">
          <w:rPr>
            <w:noProof/>
          </w:rPr>
          <w:t>3</w:t>
        </w:r>
        <w:r>
          <w:fldChar w:fldCharType="end"/>
        </w:r>
      </w:p>
    </w:sdtContent>
  </w:sdt>
  <w:p w:rsidR="00F651DF" w:rsidRDefault="00612F8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F88" w:rsidRDefault="00612F88">
      <w:r>
        <w:separator/>
      </w:r>
    </w:p>
  </w:footnote>
  <w:footnote w:type="continuationSeparator" w:id="0">
    <w:p w:rsidR="00612F88" w:rsidRDefault="00612F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005AE9EE"/>
    <w:lvl w:ilvl="0" w:tplc="23221A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FA2"/>
    <w:rsid w:val="00026336"/>
    <w:rsid w:val="000E2238"/>
    <w:rsid w:val="001C5E06"/>
    <w:rsid w:val="00263BA9"/>
    <w:rsid w:val="00332B03"/>
    <w:rsid w:val="003D42AB"/>
    <w:rsid w:val="00406BF4"/>
    <w:rsid w:val="00450943"/>
    <w:rsid w:val="005A0093"/>
    <w:rsid w:val="00612F88"/>
    <w:rsid w:val="00AC0D7B"/>
    <w:rsid w:val="00BC6339"/>
    <w:rsid w:val="00D76FA2"/>
    <w:rsid w:val="00F338E0"/>
    <w:rsid w:val="00FB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87E7D3-5D8C-47BB-952E-65B401FD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FA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76FA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D76F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D76FA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76FA2"/>
    <w:rPr>
      <w:sz w:val="24"/>
      <w:szCs w:val="24"/>
    </w:rPr>
  </w:style>
  <w:style w:type="character" w:styleId="a6">
    <w:name w:val="Hyperlink"/>
    <w:basedOn w:val="a0"/>
    <w:rsid w:val="00D76FA2"/>
    <w:rPr>
      <w:color w:val="0563C1" w:themeColor="hyperlink"/>
      <w:u w:val="single"/>
    </w:rPr>
  </w:style>
  <w:style w:type="paragraph" w:styleId="a7">
    <w:name w:val="Balloon Text"/>
    <w:basedOn w:val="a"/>
    <w:link w:val="a8"/>
    <w:rsid w:val="00FB695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FB69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43127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51057/c7b7d54bb98fd39daf4b04c73897fa605287818d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BD9F001EE60B3989E9ECA2AC5FBF049F5F74C981A13C2E55D3FCFED578EF352035E6E08A62E2o9xA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3773/fb3b9f6c5786727ec9ea99d18258678dcbe363ef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1704</Words>
  <Characters>9716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2017-10-25T07:08:00Z</cp:lastPrinted>
  <dcterms:created xsi:type="dcterms:W3CDTF">2017-10-25T05:23:00Z</dcterms:created>
  <dcterms:modified xsi:type="dcterms:W3CDTF">2017-10-25T07:08:00Z</dcterms:modified>
</cp:coreProperties>
</file>